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B647C7" w:rsidRDefault="00B647C7" w:rsidP="00B647C7">
      <w:pPr>
        <w:ind w:right="707"/>
        <w:rPr>
          <w:rFonts w:ascii="Arial" w:eastAsia="Arial" w:hAnsi="Arial" w:cs="Arial"/>
        </w:rPr>
      </w:pPr>
    </w:p>
    <w:p w:rsidR="00B647C7" w:rsidRPr="00B647C7" w:rsidRDefault="002C1AF4" w:rsidP="00B647C7">
      <w:pPr>
        <w:ind w:right="707"/>
        <w:rPr>
          <w:rFonts w:ascii="Arial" w:hAnsi="Arial" w:cs="Arial"/>
          <w:b/>
          <w:color w:val="FFFFFF"/>
        </w:rPr>
      </w:pPr>
      <w:r w:rsidRPr="00B647C7">
        <w:rPr>
          <w:rFonts w:ascii="Arial" w:eastAsia="Wingdings" w:hAnsi="Arial" w:cs="Arial"/>
          <w:b/>
          <w:color w:val="0000CC"/>
        </w:rPr>
        <w:t>■</w:t>
      </w:r>
      <w:r w:rsidRPr="00B647C7">
        <w:rPr>
          <w:rFonts w:ascii="Arial" w:eastAsia="Arial" w:hAnsi="Arial" w:cs="Arial"/>
          <w:color w:val="FF6600"/>
        </w:rPr>
        <w:t xml:space="preserve"> </w:t>
      </w:r>
      <w:r w:rsidRPr="00B647C7">
        <w:rPr>
          <w:rFonts w:ascii="Arial" w:eastAsia="Arial" w:hAnsi="Arial" w:cs="Arial"/>
          <w:sz w:val="22"/>
        </w:rPr>
        <w:t>Objet de l’accord cadre :</w:t>
      </w:r>
      <w:r w:rsidR="00B647C7" w:rsidRPr="00B647C7">
        <w:rPr>
          <w:rFonts w:ascii="Arial" w:hAnsi="Arial" w:cs="Arial"/>
          <w:b/>
          <w:color w:val="FFFFFF"/>
          <w:sz w:val="22"/>
        </w:rPr>
        <w:t xml:space="preserve"> </w:t>
      </w:r>
    </w:p>
    <w:p w:rsidR="00B647C7" w:rsidRPr="00B647C7" w:rsidRDefault="00B647C7" w:rsidP="00B647C7">
      <w:pPr>
        <w:ind w:right="707"/>
        <w:jc w:val="both"/>
        <w:rPr>
          <w:rFonts w:ascii="Arial" w:hAnsi="Arial" w:cs="Arial"/>
          <w:b/>
          <w:sz w:val="22"/>
          <w:szCs w:val="22"/>
        </w:rPr>
      </w:pPr>
      <w:r w:rsidRPr="00B647C7">
        <w:rPr>
          <w:rFonts w:ascii="Arial" w:hAnsi="Arial" w:cs="Arial"/>
          <w:b/>
          <w:sz w:val="22"/>
          <w:szCs w:val="22"/>
        </w:rPr>
        <w:t>Mise à disposition d’une solution de vote électronique et d’une expertise indépendante du système de vote pour l’Université Sorbonne Nouvelle</w:t>
      </w:r>
    </w:p>
    <w:p w:rsidR="00E518B3" w:rsidRDefault="00E518B3">
      <w:pPr>
        <w:tabs>
          <w:tab w:val="left" w:pos="426"/>
          <w:tab w:val="left" w:pos="851"/>
        </w:tabs>
        <w:jc w:val="both"/>
        <w:rPr>
          <w:rFonts w:ascii="Arial" w:eastAsia="Arial" w:hAnsi="Arial" w:cs="Arial"/>
          <w:sz w:val="22"/>
          <w:szCs w:val="22"/>
        </w:rPr>
      </w:pPr>
    </w:p>
    <w:p w:rsidR="00E518B3" w:rsidRPr="00B647C7" w:rsidRDefault="00B647C7" w:rsidP="00B647C7">
      <w:pPr>
        <w:ind w:right="707"/>
        <w:rPr>
          <w:rFonts w:ascii="Arial" w:eastAsia="Wingdings" w:hAnsi="Arial" w:cs="Arial"/>
          <w:b/>
          <w:sz w:val="22"/>
        </w:rPr>
      </w:pPr>
      <w:r w:rsidRPr="00B647C7">
        <w:rPr>
          <w:rFonts w:ascii="Arial" w:eastAsia="Wingdings" w:hAnsi="Arial" w:cs="Arial"/>
          <w:b/>
          <w:color w:val="0000CC"/>
        </w:rPr>
        <w:t>■</w:t>
      </w:r>
      <w:r>
        <w:rPr>
          <w:rFonts w:ascii="Arial" w:eastAsia="Wingdings" w:hAnsi="Arial" w:cs="Arial"/>
          <w:b/>
          <w:color w:val="0000CC"/>
        </w:rPr>
        <w:t xml:space="preserve"> </w:t>
      </w:r>
      <w:r w:rsidRPr="00B647C7">
        <w:rPr>
          <w:rFonts w:ascii="Arial" w:eastAsia="Wingdings" w:hAnsi="Arial" w:cs="Arial"/>
          <w:sz w:val="22"/>
        </w:rPr>
        <w:t>Objets des lots :</w:t>
      </w:r>
      <w:r w:rsidRPr="00B647C7">
        <w:rPr>
          <w:rFonts w:ascii="Arial" w:eastAsia="Wingdings" w:hAnsi="Arial" w:cs="Arial"/>
          <w:b/>
          <w:sz w:val="22"/>
        </w:rPr>
        <w:t xml:space="preserve"> </w:t>
      </w:r>
    </w:p>
    <w:p w:rsidR="00B647C7" w:rsidRPr="00A05BD0" w:rsidRDefault="00B647C7" w:rsidP="00B647C7">
      <w:pPr>
        <w:numPr>
          <w:ilvl w:val="0"/>
          <w:numId w:val="4"/>
        </w:numPr>
        <w:spacing w:line="276" w:lineRule="auto"/>
        <w:jc w:val="both"/>
        <w:rPr>
          <w:rFonts w:eastAsia="Times"/>
        </w:rPr>
      </w:pPr>
      <w:r w:rsidRPr="00A05BD0">
        <w:rPr>
          <w:rFonts w:eastAsia="Times"/>
          <w:b/>
        </w:rPr>
        <w:t>LOT 1</w:t>
      </w:r>
      <w:r w:rsidRPr="00A05BD0">
        <w:rPr>
          <w:rFonts w:eastAsia="Times"/>
        </w:rPr>
        <w:t xml:space="preserve"> : Mise à disposition d’un système de vote électronique, organisation et assistance à la conduite des élections</w:t>
      </w:r>
    </w:p>
    <w:p w:rsidR="00B647C7" w:rsidRPr="00A05BD0" w:rsidRDefault="00B647C7" w:rsidP="00B647C7">
      <w:pPr>
        <w:numPr>
          <w:ilvl w:val="0"/>
          <w:numId w:val="4"/>
        </w:numPr>
        <w:spacing w:line="276" w:lineRule="auto"/>
        <w:jc w:val="both"/>
        <w:rPr>
          <w:rFonts w:eastAsia="Times"/>
        </w:rPr>
      </w:pPr>
      <w:r w:rsidRPr="00A05BD0">
        <w:rPr>
          <w:rFonts w:eastAsia="Times"/>
          <w:b/>
        </w:rPr>
        <w:t>LOT 2</w:t>
      </w:r>
      <w:r w:rsidRPr="00A05BD0">
        <w:rPr>
          <w:rFonts w:eastAsia="Times"/>
        </w:rPr>
        <w:t xml:space="preserve"> : Expertise indépendante du système de vote électronique retenu par l’université Sorbonne Nouvelle</w:t>
      </w:r>
    </w:p>
    <w:p w:rsidR="00E518B3" w:rsidRDefault="00E518B3">
      <w:pPr>
        <w:rPr>
          <w:rFonts w:ascii="Arial" w:eastAsia="Arial" w:hAnsi="Arial" w:cs="Arial"/>
          <w:sz w:val="22"/>
          <w:szCs w:val="22"/>
        </w:rPr>
      </w:pPr>
    </w:p>
    <w:p w:rsidR="00E518B3" w:rsidRDefault="00E518B3">
      <w:pPr>
        <w:tabs>
          <w:tab w:val="left" w:pos="426"/>
          <w:tab w:val="left" w:pos="851"/>
        </w:tabs>
        <w:rPr>
          <w:rFonts w:ascii="Arial" w:eastAsia="Arial" w:hAnsi="Arial" w:cs="Arial"/>
          <w:b/>
          <w:sz w:val="22"/>
          <w:szCs w:val="22"/>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sz w:val="22"/>
          <w:szCs w:val="22"/>
        </w:rPr>
        <w:t>■</w:t>
      </w:r>
      <w:r>
        <w:rPr>
          <w:rFonts w:ascii="Arial" w:eastAsia="Arial" w:hAnsi="Arial" w:cs="Arial"/>
          <w:color w:val="FF6600"/>
          <w:sz w:val="22"/>
          <w:szCs w:val="22"/>
        </w:rPr>
        <w:t xml:space="preserve"> </w:t>
      </w:r>
      <w:r>
        <w:rPr>
          <w:rFonts w:ascii="Arial" w:eastAsia="Arial" w:hAnsi="Arial" w:cs="Arial"/>
          <w:sz w:val="22"/>
          <w:szCs w:val="22"/>
        </w:rPr>
        <w:t xml:space="preserve">Code CPV principal : </w:t>
      </w:r>
    </w:p>
    <w:p w:rsidR="00E518B3" w:rsidRDefault="00E518B3">
      <w:pPr>
        <w:tabs>
          <w:tab w:val="left" w:pos="426"/>
          <w:tab w:val="left" w:pos="851"/>
        </w:tabs>
        <w:jc w:val="both"/>
        <w:rPr>
          <w:rFonts w:ascii="Arial" w:eastAsia="Arial" w:hAnsi="Arial" w:cs="Arial"/>
          <w:b/>
          <w:sz w:val="24"/>
          <w:szCs w:val="24"/>
        </w:rPr>
      </w:pPr>
    </w:p>
    <w:p w:rsidR="00E518B3" w:rsidRDefault="002C1AF4">
      <w:pPr>
        <w:rPr>
          <w:rFonts w:ascii="Arial" w:eastAsia="Arial" w:hAnsi="Arial" w:cs="Arial"/>
          <w:sz w:val="22"/>
          <w:szCs w:val="22"/>
        </w:rPr>
      </w:pPr>
      <w:r>
        <w:rPr>
          <w:rFonts w:ascii="Arial" w:eastAsia="Arial" w:hAnsi="Arial" w:cs="Arial"/>
          <w:sz w:val="22"/>
          <w:szCs w:val="22"/>
        </w:rPr>
        <w:t xml:space="preserve">La classification principale conforme au vocabulaire commun des marchés européens (CPV) est : </w:t>
      </w:r>
    </w:p>
    <w:p w:rsidR="00E518B3" w:rsidRDefault="00E518B3"/>
    <w:p w:rsidR="00E518B3" w:rsidRDefault="00E518B3">
      <w:pPr>
        <w:tabs>
          <w:tab w:val="left" w:pos="426"/>
          <w:tab w:val="left" w:pos="851"/>
        </w:tabs>
        <w:jc w:val="both"/>
        <w:rPr>
          <w:rFonts w:ascii="Arial" w:eastAsia="Arial" w:hAnsi="Arial" w:cs="Arial"/>
        </w:rPr>
      </w:pPr>
    </w:p>
    <w:tbl>
      <w:tblPr>
        <w:tblW w:w="7671" w:type="dxa"/>
        <w:tblInd w:w="55" w:type="dxa"/>
        <w:tblLayout w:type="fixed"/>
        <w:tblLook w:val="0400" w:firstRow="0" w:lastRow="0" w:firstColumn="0" w:lastColumn="0" w:noHBand="0" w:noVBand="1"/>
      </w:tblPr>
      <w:tblGrid>
        <w:gridCol w:w="1341"/>
        <w:gridCol w:w="6330"/>
      </w:tblGrid>
      <w:tr w:rsidR="00B647C7" w:rsidRPr="009670D4" w:rsidTr="00C65B6F">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B647C7" w:rsidRPr="009670D4" w:rsidRDefault="00B647C7" w:rsidP="00C65B6F">
            <w:pPr>
              <w:jc w:val="center"/>
              <w:rPr>
                <w:b/>
                <w:sz w:val="18"/>
                <w:szCs w:val="18"/>
              </w:rPr>
            </w:pPr>
            <w:r w:rsidRPr="009670D4">
              <w:rPr>
                <w:b/>
                <w:sz w:val="18"/>
                <w:szCs w:val="18"/>
              </w:rPr>
              <w:t>CODE CPV</w:t>
            </w:r>
          </w:p>
        </w:tc>
        <w:tc>
          <w:tcPr>
            <w:tcW w:w="6330" w:type="dxa"/>
            <w:tcBorders>
              <w:top w:val="single" w:sz="4" w:space="0" w:color="000000"/>
              <w:left w:val="nil"/>
              <w:bottom w:val="single" w:sz="4" w:space="0" w:color="000000"/>
              <w:right w:val="single" w:sz="4" w:space="0" w:color="000000"/>
            </w:tcBorders>
            <w:shd w:val="clear" w:color="auto" w:fill="808080"/>
            <w:vAlign w:val="center"/>
          </w:tcPr>
          <w:p w:rsidR="00B647C7" w:rsidRPr="009670D4" w:rsidRDefault="00B647C7" w:rsidP="00C65B6F">
            <w:pPr>
              <w:jc w:val="center"/>
              <w:rPr>
                <w:b/>
                <w:sz w:val="18"/>
                <w:szCs w:val="18"/>
              </w:rPr>
            </w:pPr>
            <w:r w:rsidRPr="009670D4">
              <w:rPr>
                <w:b/>
                <w:sz w:val="18"/>
                <w:szCs w:val="18"/>
              </w:rPr>
              <w:t>Dénomination</w:t>
            </w:r>
          </w:p>
        </w:tc>
      </w:tr>
      <w:tr w:rsidR="00916FB9" w:rsidTr="00C65B6F">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16FB9" w:rsidRPr="005F099C" w:rsidRDefault="00916FB9" w:rsidP="00916FB9">
            <w:pPr>
              <w:jc w:val="center"/>
              <w:rPr>
                <w:b/>
                <w:sz w:val="18"/>
                <w:szCs w:val="18"/>
              </w:rPr>
            </w:pPr>
            <w:bookmarkStart w:id="0" w:name="_GoBack" w:colFirst="0" w:colLast="1"/>
            <w:r w:rsidRPr="005F099C">
              <w:rPr>
                <w:rFonts w:ascii="Arial" w:hAnsi="Arial" w:cs="Arial"/>
                <w:b/>
                <w:sz w:val="18"/>
                <w:szCs w:val="18"/>
              </w:rPr>
              <w:t>72000000-5</w:t>
            </w:r>
          </w:p>
        </w:tc>
        <w:tc>
          <w:tcPr>
            <w:tcW w:w="6330" w:type="dxa"/>
            <w:tcBorders>
              <w:top w:val="single" w:sz="4" w:space="0" w:color="000000"/>
              <w:left w:val="nil"/>
              <w:bottom w:val="single" w:sz="4" w:space="0" w:color="000000"/>
              <w:right w:val="single" w:sz="4" w:space="0" w:color="000000"/>
            </w:tcBorders>
            <w:shd w:val="clear" w:color="auto" w:fill="auto"/>
            <w:vAlign w:val="bottom"/>
          </w:tcPr>
          <w:p w:rsidR="00916FB9" w:rsidRPr="005F099C" w:rsidRDefault="00916FB9" w:rsidP="00916FB9">
            <w:pPr>
              <w:jc w:val="center"/>
              <w:rPr>
                <w:b/>
                <w:sz w:val="18"/>
                <w:szCs w:val="18"/>
              </w:rPr>
            </w:pPr>
            <w:r w:rsidRPr="005F099C">
              <w:rPr>
                <w:rFonts w:ascii="Arial" w:hAnsi="Arial" w:cs="Arial"/>
                <w:b/>
                <w:sz w:val="18"/>
                <w:szCs w:val="18"/>
              </w:rPr>
              <w:t>Services de technologies de l'information, conseil, développement de logiciels, Internet et appui.</w:t>
            </w:r>
          </w:p>
        </w:tc>
      </w:tr>
      <w:bookmarkEnd w:id="0"/>
      <w:tr w:rsidR="00B647C7" w:rsidTr="00C65B6F">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647C7" w:rsidRPr="00407C9D" w:rsidRDefault="00B647C7" w:rsidP="00C65B6F">
            <w:pPr>
              <w:jc w:val="center"/>
              <w:rPr>
                <w:b/>
                <w:sz w:val="18"/>
                <w:szCs w:val="18"/>
              </w:rPr>
            </w:pPr>
            <w:r w:rsidRPr="00407C9D">
              <w:rPr>
                <w:b/>
                <w:sz w:val="18"/>
                <w:szCs w:val="18"/>
              </w:rPr>
              <w:t>72220000-3</w:t>
            </w:r>
          </w:p>
        </w:tc>
        <w:tc>
          <w:tcPr>
            <w:tcW w:w="6330" w:type="dxa"/>
            <w:tcBorders>
              <w:top w:val="single" w:sz="4" w:space="0" w:color="000000"/>
              <w:left w:val="nil"/>
              <w:bottom w:val="single" w:sz="4" w:space="0" w:color="000000"/>
              <w:right w:val="single" w:sz="4" w:space="0" w:color="000000"/>
            </w:tcBorders>
            <w:shd w:val="clear" w:color="auto" w:fill="auto"/>
            <w:vAlign w:val="bottom"/>
          </w:tcPr>
          <w:p w:rsidR="00B647C7" w:rsidRPr="00407C9D" w:rsidRDefault="00B647C7" w:rsidP="00C65B6F">
            <w:pPr>
              <w:jc w:val="center"/>
              <w:rPr>
                <w:b/>
                <w:sz w:val="18"/>
                <w:szCs w:val="18"/>
              </w:rPr>
            </w:pPr>
            <w:r w:rsidRPr="00407C9D">
              <w:rPr>
                <w:b/>
                <w:sz w:val="18"/>
                <w:szCs w:val="18"/>
              </w:rPr>
              <w:t>Services de conseil en systèmes informatiques et conseils techniques.</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6C5E32" w:rsidRPr="006C5E32" w:rsidRDefault="002C1AF4" w:rsidP="006C5E32">
      <w:pPr>
        <w:spacing w:line="276" w:lineRule="auto"/>
        <w:jc w:val="both"/>
        <w:rPr>
          <w:rFonts w:ascii="Arial" w:eastAsia="Times" w:hAnsi="Arial" w:cs="Arial"/>
          <w:b/>
          <w:sz w:val="22"/>
        </w:rPr>
      </w:pPr>
      <w:r>
        <w:rPr>
          <w:rFonts w:ascii="Arial" w:eastAsia="Arial" w:hAnsi="Arial" w:cs="Arial"/>
          <w:color w:val="FF6600"/>
        </w:rPr>
        <w:t xml:space="preserve"> </w:t>
      </w:r>
      <w:r>
        <w:rPr>
          <w:rFonts w:ascii="Arial" w:eastAsia="Arial" w:hAnsi="Arial" w:cs="Arial"/>
          <w:sz w:val="22"/>
          <w:szCs w:val="22"/>
        </w:rPr>
        <w:t>Ce</w:t>
      </w:r>
      <w:r w:rsidR="00B647C7">
        <w:rPr>
          <w:rFonts w:ascii="Arial" w:eastAsia="Arial" w:hAnsi="Arial" w:cs="Arial"/>
          <w:sz w:val="22"/>
          <w:szCs w:val="22"/>
        </w:rPr>
        <w:t xml:space="preserve">t acte d'engagement correspond </w:t>
      </w:r>
      <w:r w:rsidR="00B647C7">
        <w:rPr>
          <w:rFonts w:ascii="Arial" w:eastAsia="Arial" w:hAnsi="Arial" w:cs="Arial"/>
          <w:color w:val="000000"/>
          <w:sz w:val="22"/>
          <w:szCs w:val="22"/>
        </w:rPr>
        <w:t>au lot n° </w:t>
      </w:r>
      <w:r w:rsidR="006C5E32">
        <w:rPr>
          <w:rFonts w:ascii="Arial" w:eastAsia="Arial" w:hAnsi="Arial" w:cs="Arial"/>
          <w:b/>
          <w:color w:val="000000"/>
          <w:sz w:val="22"/>
          <w:szCs w:val="22"/>
        </w:rPr>
        <w:t>2</w:t>
      </w:r>
      <w:r w:rsidR="00B647C7">
        <w:rPr>
          <w:rFonts w:ascii="Arial" w:eastAsia="Arial" w:hAnsi="Arial" w:cs="Arial"/>
          <w:color w:val="000000"/>
          <w:sz w:val="22"/>
          <w:szCs w:val="22"/>
        </w:rPr>
        <w:t xml:space="preserve"> d</w:t>
      </w:r>
      <w:r>
        <w:rPr>
          <w:rFonts w:ascii="Arial" w:eastAsia="Arial" w:hAnsi="Arial" w:cs="Arial"/>
          <w:color w:val="000000"/>
          <w:sz w:val="22"/>
          <w:szCs w:val="22"/>
        </w:rPr>
        <w:t>e l’accord cadre</w:t>
      </w:r>
      <w:r w:rsidR="00B647C7">
        <w:rPr>
          <w:rFonts w:ascii="Arial" w:eastAsia="Arial" w:hAnsi="Arial" w:cs="Arial"/>
          <w:color w:val="000000"/>
          <w:sz w:val="22"/>
          <w:szCs w:val="22"/>
        </w:rPr>
        <w:t xml:space="preserve"> : </w:t>
      </w:r>
      <w:r w:rsidR="006C5E32" w:rsidRPr="006C5E32">
        <w:rPr>
          <w:rFonts w:ascii="Arial" w:eastAsia="Times" w:hAnsi="Arial" w:cs="Arial"/>
          <w:b/>
          <w:sz w:val="22"/>
        </w:rPr>
        <w:t>Expertise indépendante du système de vote électronique retenu par l’université Sorbonne Nouvelle</w:t>
      </w:r>
    </w:p>
    <w:p w:rsidR="00E518B3" w:rsidRDefault="00E518B3" w:rsidP="006C5E32">
      <w:pPr>
        <w:tabs>
          <w:tab w:val="left" w:pos="426"/>
          <w:tab w:val="left" w:pos="851"/>
        </w:tabs>
        <w:jc w:val="both"/>
        <w:rPr>
          <w:rFonts w:ascii="Arial" w:eastAsia="Arial" w:hAnsi="Arial" w:cs="Arial"/>
          <w:color w:val="000000"/>
        </w:rPr>
      </w:pPr>
    </w:p>
    <w:p w:rsidR="00E518B3" w:rsidRDefault="002C1AF4">
      <w:r>
        <w:br w:type="page"/>
      </w:r>
    </w:p>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lastRenderedPageBreak/>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Après avoir pris connaissance des pièces constitutives de l’accord cadre suivantes,</w:t>
      </w:r>
    </w:p>
    <w:p w:rsidR="00E518B3" w:rsidRDefault="002C1AF4">
      <w:pPr>
        <w:spacing w:before="120"/>
        <w:ind w:left="1135" w:hanging="284"/>
        <w:rPr>
          <w:rFonts w:ascii="Arial" w:eastAsia="Arial" w:hAnsi="Arial" w:cs="Arial"/>
        </w:rPr>
      </w:pPr>
      <w:bookmarkStart w:id="1" w:name="bookmark=id.gjdgxs" w:colFirst="0" w:colLast="0"/>
      <w:bookmarkEnd w:id="1"/>
      <w:r>
        <w:rPr>
          <w:rFonts w:ascii="Arial" w:eastAsia="Arial" w:hAnsi="Arial" w:cs="Arial"/>
        </w:rPr>
        <w:t>☒ CCAP référencé “</w:t>
      </w:r>
      <w:r w:rsidR="00B647C7">
        <w:rPr>
          <w:rFonts w:ascii="Arial" w:eastAsia="Arial" w:hAnsi="Arial" w:cs="Arial"/>
        </w:rPr>
        <w:t>USN-VOTEELEC</w:t>
      </w:r>
      <w:r>
        <w:rPr>
          <w:rFonts w:ascii="Arial" w:eastAsia="Arial" w:hAnsi="Arial" w:cs="Arial"/>
        </w:rPr>
        <w:t>”</w:t>
      </w:r>
    </w:p>
    <w:p w:rsidR="00E518B3" w:rsidRDefault="002C1AF4">
      <w:pPr>
        <w:spacing w:before="120"/>
        <w:ind w:left="1135" w:hanging="284"/>
        <w:rPr>
          <w:rFonts w:ascii="Arial" w:eastAsia="Arial" w:hAnsi="Arial" w:cs="Arial"/>
        </w:rPr>
      </w:pPr>
      <w:bookmarkStart w:id="2" w:name="_heading=h.30j0zll" w:colFirst="0" w:colLast="0"/>
      <w:bookmarkEnd w:id="2"/>
      <w:r>
        <w:rPr>
          <w:rFonts w:ascii="Arial" w:eastAsia="Arial" w:hAnsi="Arial" w:cs="Arial"/>
        </w:rPr>
        <w:t>☒ CCTP référencé “</w:t>
      </w:r>
      <w:r w:rsidR="00B647C7">
        <w:rPr>
          <w:rFonts w:ascii="Arial" w:eastAsia="Arial" w:hAnsi="Arial" w:cs="Arial"/>
        </w:rPr>
        <w:t>USN-VOTEELEC</w:t>
      </w:r>
      <w:r>
        <w:rPr>
          <w:rFonts w:ascii="Arial" w:eastAsia="Arial" w:hAnsi="Arial" w:cs="Arial"/>
        </w:rPr>
        <w:t xml:space="preserve">” </w:t>
      </w:r>
    </w:p>
    <w:p w:rsidR="00B647C7" w:rsidRDefault="002C1AF4" w:rsidP="00B647C7">
      <w:pPr>
        <w:ind w:left="993" w:hanging="142"/>
      </w:pPr>
      <w:r>
        <w:rPr>
          <w:rFonts w:ascii="Arial" w:eastAsia="Arial" w:hAnsi="Arial" w:cs="Arial"/>
        </w:rPr>
        <w:t xml:space="preserve">☒ CCAG : </w:t>
      </w:r>
      <w:r w:rsidR="00B647C7">
        <w:t xml:space="preserve">Cahier des </w:t>
      </w:r>
      <w:r w:rsidR="00B647C7" w:rsidRPr="00B377BE">
        <w:t>Clauses Administratives Générales (CCAG/</w:t>
      </w:r>
      <w:r w:rsidR="00B647C7">
        <w:t>PI</w:t>
      </w:r>
      <w:r w:rsidR="00B647C7" w:rsidRPr="00B377BE">
        <w:t xml:space="preserve">) arrêté du </w:t>
      </w:r>
      <w:r w:rsidR="00B647C7">
        <w:t>30 mars 2021</w:t>
      </w:r>
      <w:r w:rsidR="00B647C7" w:rsidRPr="00B377BE">
        <w:t>,</w:t>
      </w:r>
      <w:r w:rsidR="00B647C7" w:rsidRPr="00B377BE">
        <w:rPr>
          <w:color w:val="FF0000"/>
        </w:rPr>
        <w:t xml:space="preserve"> </w:t>
      </w:r>
      <w:r w:rsidR="00B647C7">
        <w:t>applicables       aux marchés de prestations intellectuelles.</w:t>
      </w:r>
    </w:p>
    <w:p w:rsidR="00E518B3" w:rsidRDefault="002C1AF4">
      <w:pPr>
        <w:spacing w:before="120"/>
        <w:ind w:left="1135" w:hanging="284"/>
        <w:jc w:val="both"/>
        <w:rPr>
          <w:rFonts w:ascii="Arial" w:eastAsia="Arial" w:hAnsi="Arial" w:cs="Arial"/>
          <w:highlight w:val="yellow"/>
        </w:rPr>
      </w:pPr>
      <w:r>
        <w:rPr>
          <w:rFonts w:ascii="Arial" w:eastAsia="Arial" w:hAnsi="Arial" w:cs="Arial"/>
        </w:rPr>
        <w:t>☒ Autres : le RC référencé “</w:t>
      </w:r>
      <w:r w:rsidR="00B647C7" w:rsidRPr="00B647C7">
        <w:rPr>
          <w:rFonts w:ascii="Arial" w:eastAsia="Arial" w:hAnsi="Arial" w:cs="Arial"/>
        </w:rPr>
        <w:t xml:space="preserve"> </w:t>
      </w:r>
      <w:r w:rsidR="00B647C7">
        <w:rPr>
          <w:rFonts w:ascii="Arial" w:eastAsia="Arial" w:hAnsi="Arial" w:cs="Arial"/>
        </w:rPr>
        <w:t>USN-VOTEELEC</w:t>
      </w:r>
      <w:r w:rsidR="00B647C7">
        <w:t xml:space="preserve"> </w:t>
      </w:r>
      <w:r>
        <w:t>”</w:t>
      </w:r>
      <w:r>
        <w:rPr>
          <w:rFonts w:ascii="Arial" w:eastAsia="Arial" w:hAnsi="Arial" w:cs="Arial"/>
        </w:rPr>
        <w:t>, l’Acte d’engagement</w:t>
      </w:r>
      <w:r w:rsidR="00855B36">
        <w:rPr>
          <w:rFonts w:ascii="Arial" w:eastAsia="Arial" w:hAnsi="Arial" w:cs="Arial"/>
        </w:rPr>
        <w:t xml:space="preserve"> de chaque lot</w:t>
      </w:r>
      <w:r>
        <w:rPr>
          <w:rFonts w:ascii="Arial" w:eastAsia="Arial" w:hAnsi="Arial" w:cs="Arial"/>
        </w:rPr>
        <w:t xml:space="preserve"> référencé “</w:t>
      </w:r>
      <w:r w:rsidR="00B647C7" w:rsidRPr="00B647C7">
        <w:rPr>
          <w:rFonts w:ascii="Arial" w:eastAsia="Arial" w:hAnsi="Arial" w:cs="Arial"/>
        </w:rPr>
        <w:t xml:space="preserve"> </w:t>
      </w:r>
      <w:r w:rsidR="00B647C7">
        <w:rPr>
          <w:rFonts w:ascii="Arial" w:eastAsia="Arial" w:hAnsi="Arial" w:cs="Arial"/>
        </w:rPr>
        <w:t>USN-VOTEELEC</w:t>
      </w:r>
      <w:r w:rsidR="00855B36">
        <w:rPr>
          <w:rFonts w:ascii="Arial" w:eastAsia="Arial" w:hAnsi="Arial" w:cs="Arial"/>
        </w:rPr>
        <w:t xml:space="preserve"> lot 1 et lot 2, leurs</w:t>
      </w:r>
      <w:r>
        <w:rPr>
          <w:rFonts w:ascii="Arial" w:eastAsia="Arial" w:hAnsi="Arial" w:cs="Arial"/>
        </w:rPr>
        <w:t xml:space="preserve"> annexe</w:t>
      </w:r>
      <w:r w:rsidR="00855B36">
        <w:rPr>
          <w:rFonts w:ascii="Arial" w:eastAsia="Arial" w:hAnsi="Arial" w:cs="Arial"/>
        </w:rPr>
        <w:t>s</w:t>
      </w:r>
      <w:r>
        <w:rPr>
          <w:rFonts w:ascii="Arial" w:eastAsia="Arial" w:hAnsi="Arial" w:cs="Arial"/>
        </w:rPr>
        <w:t xml:space="preserve"> financière</w:t>
      </w:r>
      <w:r w:rsidR="00855B36">
        <w:rPr>
          <w:rFonts w:ascii="Arial" w:eastAsia="Arial" w:hAnsi="Arial" w:cs="Arial"/>
        </w:rPr>
        <w:t>s</w:t>
      </w:r>
      <w:r>
        <w:rPr>
          <w:rFonts w:ascii="Arial" w:eastAsia="Arial" w:hAnsi="Arial" w:cs="Arial"/>
        </w:rPr>
        <w:t xml:space="preserve"> (</w:t>
      </w:r>
      <w:r w:rsidR="00855B36">
        <w:rPr>
          <w:rFonts w:ascii="Arial" w:eastAsia="Arial" w:hAnsi="Arial" w:cs="Arial"/>
        </w:rPr>
        <w:t>BPU/DQU</w:t>
      </w:r>
      <w:r>
        <w:rPr>
          <w:rFonts w:ascii="Arial" w:eastAsia="Arial" w:hAnsi="Arial" w:cs="Arial"/>
        </w:rPr>
        <w:t xml:space="preserve">), </w:t>
      </w:r>
      <w:r w:rsidR="00855B36">
        <w:rPr>
          <w:rFonts w:ascii="Arial" w:eastAsia="Arial" w:hAnsi="Arial" w:cs="Arial"/>
        </w:rPr>
        <w:t xml:space="preserve">l’annexe RGPD propre à chaque lot </w:t>
      </w:r>
      <w:r>
        <w:rPr>
          <w:rFonts w:ascii="Arial" w:eastAsia="Arial" w:hAnsi="Arial" w:cs="Arial"/>
        </w:rPr>
        <w:t>et le cadre de la note méthodologique</w:t>
      </w:r>
      <w:r w:rsidR="00855B36">
        <w:rPr>
          <w:rFonts w:ascii="Arial" w:eastAsia="Arial" w:hAnsi="Arial" w:cs="Arial"/>
        </w:rPr>
        <w:t xml:space="preserve"> de chacun des lots</w:t>
      </w:r>
      <w:r>
        <w:rPr>
          <w:rFonts w:ascii="Arial" w:eastAsia="Arial" w:hAnsi="Arial" w:cs="Arial"/>
        </w:rPr>
        <w:t>.</w:t>
      </w:r>
    </w:p>
    <w:p w:rsidR="00E518B3" w:rsidRDefault="00E518B3">
      <w:pPr>
        <w:spacing w:before="120"/>
        <w:ind w:left="1135" w:hanging="284"/>
        <w:jc w:val="both"/>
        <w:rPr>
          <w:rFonts w:ascii="Arial" w:eastAsia="Arial" w:hAnsi="Arial" w:cs="Arial"/>
        </w:rPr>
      </w:pPr>
    </w:p>
    <w:p w:rsidR="00E518B3" w:rsidRDefault="002C1AF4">
      <w:pPr>
        <w:jc w:val="both"/>
        <w:rPr>
          <w:rFonts w:ascii="Arial" w:eastAsia="Arial" w:hAnsi="Arial" w:cs="Arial"/>
        </w:rPr>
      </w:pPr>
      <w:r>
        <w:rPr>
          <w:rFonts w:ascii="Arial" w:eastAsia="Arial" w:hAnsi="Arial" w:cs="Arial"/>
        </w:rPr>
        <w:t>et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rPr>
      </w:pPr>
      <w:r>
        <w:rPr>
          <w:rFonts w:ascii="Arial" w:eastAsia="Arial" w:hAnsi="Arial" w:cs="Arial"/>
          <w:color w:val="000000"/>
        </w:rPr>
        <w:t>à livrer les fournitures demandées ou à exécuter les prestations demandées :</w:t>
      </w:r>
    </w:p>
    <w:p w:rsidR="00E518B3" w:rsidRDefault="00E518B3">
      <w:pPr>
        <w:tabs>
          <w:tab w:val="left" w:pos="851"/>
        </w:tabs>
        <w:spacing w:before="120"/>
        <w:ind w:firstLine="851"/>
        <w:jc w:val="both"/>
      </w:pPr>
    </w:p>
    <w:p w:rsidR="00E518B3" w:rsidRDefault="002C1AF4">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r>
        <w:rPr>
          <w:rFonts w:ascii="Arial" w:eastAsia="Arial" w:hAnsi="Arial" w:cs="Arial"/>
          <w:color w:val="000000"/>
        </w:rPr>
        <w:t>☒</w:t>
      </w:r>
      <w:r w:rsidR="00855B36">
        <w:rPr>
          <w:rFonts w:ascii="Arial" w:eastAsia="Arial" w:hAnsi="Arial" w:cs="Arial"/>
          <w:color w:val="000000"/>
        </w:rPr>
        <w:t xml:space="preserve"> aux prix indiqué</w:t>
      </w:r>
      <w:r>
        <w:rPr>
          <w:rFonts w:ascii="Arial" w:eastAsia="Arial" w:hAnsi="Arial" w:cs="Arial"/>
          <w:color w:val="000000"/>
        </w:rPr>
        <w:t>s dans l’annexe financière jointe au présent document.</w:t>
      </w: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2C1AF4">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(en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916FB9">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2">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3">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E518B3" w:rsidRDefault="00E518B3">
      <w:pPr>
        <w:tabs>
          <w:tab w:val="left" w:pos="426"/>
        </w:tabs>
        <w:rPr>
          <w:rFonts w:ascii="Arial" w:eastAsia="Arial" w:hAnsi="Arial" w:cs="Arial"/>
          <w:b/>
        </w:rPr>
      </w:pPr>
    </w:p>
    <w:p w:rsidR="00855B36" w:rsidRDefault="00855B36" w:rsidP="00855B36">
      <w:pPr>
        <w:rPr>
          <w:rFonts w:ascii="Tahoma" w:hAnsi="Tahoma" w:cs="Tahoma"/>
        </w:rPr>
      </w:pPr>
      <w:r>
        <w:rPr>
          <w:rFonts w:eastAsia="Cambria"/>
        </w:rPr>
        <w:t xml:space="preserve">Une avance peut être versée </w:t>
      </w:r>
      <w:r>
        <w:rPr>
          <w:rFonts w:ascii="Tahoma" w:hAnsi="Tahoma" w:cs="Tahoma"/>
        </w:rPr>
        <w:t>c</w:t>
      </w:r>
      <w:r w:rsidRPr="00A401E5">
        <w:rPr>
          <w:rFonts w:ascii="Tahoma" w:hAnsi="Tahoma" w:cs="Tahoma"/>
        </w:rPr>
        <w:t>onformément aux dispositions de l’article R2191-3 du code de la commande publique, un</w:t>
      </w:r>
      <w:r>
        <w:rPr>
          <w:rFonts w:ascii="Tahoma" w:hAnsi="Tahoma" w:cs="Tahoma"/>
        </w:rPr>
        <w:t>e avance</w:t>
      </w:r>
      <w:r w:rsidRPr="00A401E5">
        <w:rPr>
          <w:rFonts w:ascii="Tahoma" w:hAnsi="Tahoma" w:cs="Tahoma"/>
        </w:rPr>
        <w:t xml:space="preserve"> est accordée au titulaire</w:t>
      </w:r>
      <w:r>
        <w:rPr>
          <w:rFonts w:ascii="Tahoma" w:hAnsi="Tahoma" w:cs="Tahoma"/>
        </w:rPr>
        <w:t xml:space="preserve"> de chaque lot</w:t>
      </w:r>
      <w:r w:rsidRPr="00A401E5">
        <w:rPr>
          <w:rFonts w:ascii="Tahoma" w:hAnsi="Tahoma" w:cs="Tahoma"/>
        </w:rPr>
        <w:t xml:space="preserve"> lorsque le montant </w:t>
      </w:r>
      <w:r>
        <w:rPr>
          <w:rFonts w:ascii="Tahoma" w:hAnsi="Tahoma" w:cs="Tahoma"/>
        </w:rPr>
        <w:t xml:space="preserve">du bon de commande </w:t>
      </w:r>
      <w:r w:rsidRPr="00A401E5">
        <w:rPr>
          <w:rFonts w:ascii="Tahoma" w:hAnsi="Tahoma" w:cs="Tahoma"/>
        </w:rPr>
        <w:t>est supérieur à 50 000 € HT et dans la mesure où le délai d’exé</w:t>
      </w:r>
      <w:r>
        <w:rPr>
          <w:rFonts w:ascii="Tahoma" w:hAnsi="Tahoma" w:cs="Tahoma"/>
        </w:rPr>
        <w:t>cution est supérieur à deux mois.</w:t>
      </w:r>
    </w:p>
    <w:p w:rsidR="00855B36" w:rsidRDefault="00855B36" w:rsidP="00855B36">
      <w:pPr>
        <w:rPr>
          <w:rFonts w:ascii="Tahoma" w:hAnsi="Tahoma" w:cs="Tahoma"/>
        </w:rPr>
      </w:pPr>
      <w:r>
        <w:rPr>
          <w:rFonts w:ascii="Tahoma" w:hAnsi="Tahoma" w:cs="Tahoma"/>
        </w:rPr>
        <w:t>Le montant de l’avance est fixé selon l’article 11.1 du CCAG-PI-2021.</w:t>
      </w:r>
    </w:p>
    <w:p w:rsidR="00E518B3" w:rsidRDefault="00E518B3">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B5 -</w:t>
      </w:r>
      <w:r>
        <w:rPr>
          <w:b w:val="0"/>
          <w:sz w:val="22"/>
          <w:szCs w:val="22"/>
        </w:rPr>
        <w:t xml:space="preserve"> </w:t>
      </w:r>
      <w:r>
        <w:rPr>
          <w:sz w:val="22"/>
          <w:szCs w:val="22"/>
        </w:rPr>
        <w:t>Durée d’exécution de l’accord cadre :</w:t>
      </w:r>
    </w:p>
    <w:p w:rsidR="00E518B3" w:rsidRDefault="00E518B3">
      <w:pPr>
        <w:tabs>
          <w:tab w:val="left" w:pos="576"/>
        </w:tabs>
        <w:jc w:val="both"/>
        <w:rPr>
          <w:rFonts w:ascii="Arial" w:eastAsia="Arial" w:hAnsi="Arial" w:cs="Arial"/>
        </w:rPr>
      </w:pPr>
    </w:p>
    <w:p w:rsidR="00855B36" w:rsidRPr="004371EF" w:rsidRDefault="00855B36" w:rsidP="00855B36">
      <w:pPr>
        <w:rPr>
          <w:rFonts w:ascii="Tahoma" w:hAnsi="Tahoma" w:cs="Tahoma"/>
        </w:rPr>
      </w:pPr>
      <w:r w:rsidRPr="004371EF">
        <w:rPr>
          <w:rFonts w:ascii="Tahoma" w:hAnsi="Tahoma" w:cs="Tahoma"/>
        </w:rPr>
        <w:t>Chacun des lots de l’accord cadre est conclu pour une durée d'un an</w:t>
      </w:r>
      <w:r>
        <w:rPr>
          <w:rFonts w:ascii="Tahoma" w:hAnsi="Tahoma" w:cs="Tahoma"/>
        </w:rPr>
        <w:t xml:space="preserve">, </w:t>
      </w:r>
      <w:r w:rsidRPr="004371EF">
        <w:rPr>
          <w:rFonts w:ascii="Tahoma" w:hAnsi="Tahoma" w:cs="Tahoma"/>
        </w:rPr>
        <w:t>à compter de la date de notification, et est renouvelable trois fois par tacite reconduction sans pouvoir excéder quatre ans.</w:t>
      </w:r>
    </w:p>
    <w:p w:rsidR="00E518B3" w:rsidRDefault="00E518B3">
      <w:pPr>
        <w:tabs>
          <w:tab w:val="left" w:pos="426"/>
        </w:tabs>
        <w:jc w:val="both"/>
        <w:rPr>
          <w:rFonts w:ascii="Arial" w:eastAsia="Arial" w:hAnsi="Arial" w:cs="Arial"/>
        </w:rPr>
      </w:pPr>
    </w:p>
    <w:p w:rsidR="00E518B3" w:rsidRDefault="00E518B3">
      <w:pPr>
        <w:tabs>
          <w:tab w:val="left" w:pos="426"/>
        </w:tabs>
        <w:jc w:val="both"/>
        <w:rPr>
          <w:rFonts w:ascii="Arial" w:eastAsia="Arial" w:hAnsi="Arial" w:cs="Arial"/>
          <w:b/>
          <w:sz w:val="22"/>
          <w:szCs w:val="22"/>
        </w:rPr>
      </w:pPr>
    </w:p>
    <w:p w:rsidR="00E518B3" w:rsidRDefault="002C1AF4">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hAnsi="Arial" w:cs="Arial"/>
          <w:b/>
          <w:color w:val="000000"/>
        </w:rPr>
      </w:pPr>
      <w:r w:rsidRPr="00C70DFA">
        <w:rPr>
          <w:rFonts w:ascii="Arial" w:hAnsi="Arial" w:cs="Arial"/>
          <w:color w:val="000000"/>
        </w:rPr>
        <w:t xml:space="preserve">Le présent engagement me lie pour le délai de validité des offres suivant : </w:t>
      </w:r>
      <w:r w:rsidR="00855B36">
        <w:rPr>
          <w:rFonts w:ascii="Arial" w:hAnsi="Arial" w:cs="Arial"/>
          <w:b/>
          <w:color w:val="000000"/>
        </w:rPr>
        <w:t>18</w:t>
      </w:r>
      <w:r w:rsidRPr="00C70DFA">
        <w:rPr>
          <w:rFonts w:ascii="Arial" w:hAnsi="Arial" w:cs="Arial"/>
          <w:b/>
          <w:color w:val="000000"/>
        </w:rPr>
        <w:t>0 jours.</w:t>
      </w:r>
    </w:p>
    <w:p w:rsidR="00855B36" w:rsidRDefault="00855B36">
      <w:pPr>
        <w:pBdr>
          <w:top w:val="nil"/>
          <w:left w:val="nil"/>
          <w:bottom w:val="nil"/>
          <w:right w:val="nil"/>
          <w:between w:val="nil"/>
        </w:pBdr>
        <w:tabs>
          <w:tab w:val="left" w:pos="426"/>
        </w:tabs>
        <w:jc w:val="both"/>
        <w:rPr>
          <w:rFonts w:ascii="Arial" w:hAnsi="Arial" w:cs="Arial"/>
          <w:b/>
          <w:color w:val="000000"/>
        </w:rPr>
      </w:pPr>
    </w:p>
    <w:p w:rsidR="00855B36" w:rsidRPr="00C70DFA" w:rsidRDefault="00855B36">
      <w:pPr>
        <w:pBdr>
          <w:top w:val="nil"/>
          <w:left w:val="nil"/>
          <w:bottom w:val="nil"/>
          <w:right w:val="nil"/>
          <w:between w:val="nil"/>
        </w:pBdr>
        <w:tabs>
          <w:tab w:val="left" w:pos="426"/>
        </w:tabs>
        <w:jc w:val="both"/>
        <w:rPr>
          <w:rFonts w:ascii="Arial" w:hAnsi="Arial" w:cs="Arial"/>
          <w:color w:val="000000"/>
        </w:rPr>
      </w:pP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4">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5">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916FB9">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916FB9"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916FB9">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916FB9">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916FB9">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2C1AF4" w:rsidRDefault="002C1AF4">
      <w:pPr>
        <w:tabs>
          <w:tab w:val="left" w:pos="851"/>
        </w:tabs>
        <w:rPr>
          <w:rFonts w:ascii="Arial" w:eastAsia="Arial" w:hAnsi="Arial" w:cs="Arial"/>
          <w:i/>
          <w:sz w:val="18"/>
          <w:szCs w:val="18"/>
        </w:rPr>
      </w:pPr>
    </w:p>
    <w:p w:rsidR="00E518B3" w:rsidRDefault="00916FB9">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916FB9">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916FB9">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916FB9">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trPr>
          <w:trHeight w:val="1021"/>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Default="002C1AF4">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Nom, prénom, qualité du signataire de l’accord cadre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6">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7">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E518B3" w:rsidRDefault="002C1AF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E518B3" w:rsidRDefault="00E518B3">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CB5F58" w:rsidRPr="00CB5F58" w:rsidRDefault="00497F6A"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w:t>
      </w:r>
      <w:r w:rsidR="00CB5F58" w:rsidRPr="00CB5F58">
        <w:rPr>
          <w:rFonts w:ascii="Arial" w:eastAsia="Arial" w:hAnsi="Arial" w:cs="Arial"/>
          <w:b/>
          <w:color w:val="000000"/>
        </w:rPr>
        <w:t>, Agent comptable de l’université Sorbonne Nouvelle</w:t>
      </w:r>
    </w:p>
    <w:p w:rsid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2C1AF4" w:rsidRDefault="002C1AF4">
      <w:pPr>
        <w:pBdr>
          <w:top w:val="nil"/>
          <w:left w:val="nil"/>
          <w:bottom w:val="nil"/>
          <w:right w:val="nil"/>
          <w:between w:val="nil"/>
        </w:pBdr>
        <w:tabs>
          <w:tab w:val="left" w:pos="426"/>
          <w:tab w:val="left" w:pos="851"/>
        </w:tabs>
        <w:spacing w:after="120"/>
        <w:ind w:left="1134" w:hanging="1134"/>
        <w:jc w:val="both"/>
        <w:rPr>
          <w:rFonts w:ascii="Arial" w:hAnsi="Arial" w:cs="Arial"/>
          <w:color w:val="000000"/>
        </w:rPr>
      </w:pPr>
      <w:r w:rsidRPr="002C1AF4">
        <w:rPr>
          <w:rFonts w:ascii="Arial" w:hAnsi="Arial" w:cs="Arial"/>
          <w:color w:val="000000"/>
        </w:rPr>
        <w:t xml:space="preserve">Crédit de fonctionnement de l’université Sorbonne Nouvelle </w:t>
      </w:r>
    </w:p>
    <w:p w:rsidR="00E518B3" w:rsidRDefault="00E518B3">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2C1AF4" w:rsidRDefault="002C1AF4">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E518B3" w:rsidRDefault="00E518B3">
      <w:pPr>
        <w:jc w:val="both"/>
        <w:rPr>
          <w:rFonts w:ascii="Arial" w:eastAsia="Arial" w:hAnsi="Arial" w:cs="Arial"/>
        </w:rPr>
      </w:pPr>
    </w:p>
    <w:p w:rsidR="00E518B3" w:rsidRDefault="00E518B3">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r>
        <w:rPr>
          <w:rFonts w:ascii="Arial" w:eastAsia="Arial" w:hAnsi="Arial" w:cs="Arial"/>
          <w:b/>
          <w:smallCaps/>
        </w:rPr>
        <w:t xml:space="preserve">Le présent AE vaut pour acceptation de </w:t>
      </w:r>
      <w:r w:rsidR="006C5E32">
        <w:rPr>
          <w:rFonts w:ascii="Arial" w:eastAsia="Arial" w:hAnsi="Arial" w:cs="Arial"/>
          <w:b/>
          <w:smallCaps/>
        </w:rPr>
        <w:t>L’ensemble de l’offre du lot n°2</w:t>
      </w:r>
      <w:r w:rsidR="00855B36">
        <w:rPr>
          <w:rFonts w:ascii="Arial" w:eastAsia="Arial" w:hAnsi="Arial" w:cs="Arial"/>
          <w:b/>
          <w:smallCaps/>
        </w:rPr>
        <w:t>.</w:t>
      </w:r>
    </w:p>
    <w:p w:rsidR="00AB4BD2" w:rsidRDefault="00AB4BD2">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p>
    <w:p w:rsidR="00E518B3" w:rsidRDefault="002C1AF4">
      <w:pPr>
        <w:tabs>
          <w:tab w:val="left" w:pos="3402"/>
          <w:tab w:val="left" w:pos="6237"/>
          <w:tab w:val="left" w:pos="9072"/>
        </w:tabs>
        <w:jc w:val="both"/>
        <w:rPr>
          <w:rFonts w:ascii="Arial" w:eastAsia="Arial" w:hAnsi="Arial" w:cs="Arial"/>
          <w:b/>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E518B3" w:rsidRDefault="002C1AF4">
      <w:pPr>
        <w:tabs>
          <w:tab w:val="left" w:pos="3402"/>
          <w:tab w:val="left" w:pos="6237"/>
          <w:tab w:val="left" w:pos="9072"/>
        </w:tabs>
        <w:jc w:val="both"/>
        <w:rPr>
          <w:rFonts w:ascii="Arial" w:eastAsia="Arial" w:hAnsi="Arial" w:cs="Arial"/>
          <w:i/>
          <w:sz w:val="18"/>
          <w:szCs w:val="18"/>
        </w:rPr>
      </w:pPr>
      <w:r>
        <w:rPr>
          <w:rFonts w:ascii="Arial" w:eastAsia="Arial" w:hAnsi="Arial" w:cs="Arial"/>
          <w:i/>
          <w:sz w:val="18"/>
          <w:szCs w:val="18"/>
        </w:rPr>
        <w:t>(Visa ou avis de l’autorité chargée du contrôle financier.)</w:t>
      </w:r>
    </w:p>
    <w:p w:rsidR="00E518B3" w:rsidRDefault="00E518B3">
      <w:pPr>
        <w:rPr>
          <w:rFonts w:ascii="Arial" w:eastAsia="Arial" w:hAnsi="Arial" w:cs="Arial"/>
        </w:rPr>
      </w:pPr>
    </w:p>
    <w:p w:rsidR="00E518B3" w:rsidRDefault="00E518B3">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2C1AF4">
      <w:pPr>
        <w:keepNext/>
        <w:ind w:left="5245"/>
        <w:jc w:val="center"/>
        <w:rPr>
          <w:rFonts w:ascii="Arial" w:eastAsia="Arial" w:hAnsi="Arial" w:cs="Arial"/>
          <w:b/>
        </w:rPr>
      </w:pPr>
      <w:r>
        <w:rPr>
          <w:rFonts w:ascii="Arial" w:eastAsia="Arial" w:hAnsi="Arial" w:cs="Arial"/>
          <w:b/>
        </w:rPr>
        <w:t xml:space="preserve">M. </w:t>
      </w:r>
      <w:r w:rsidR="00497F6A">
        <w:rPr>
          <w:rFonts w:ascii="Arial" w:eastAsia="Arial" w:hAnsi="Arial" w:cs="Arial"/>
          <w:b/>
        </w:rPr>
        <w:t>Daniel MOUCHARD</w:t>
      </w:r>
      <w:r>
        <w:rPr>
          <w:rFonts w:ascii="Arial" w:eastAsia="Arial" w:hAnsi="Arial" w:cs="Arial"/>
          <w:b/>
        </w:rPr>
        <w:t>,</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l’accord cadre.)</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r>
        <w:rPr>
          <w:rFonts w:ascii="Arial" w:eastAsia="Arial" w:hAnsi="Arial" w:cs="Arial"/>
        </w:rPr>
        <w:t xml:space="preserve">☐  </w:t>
      </w:r>
      <w:r>
        <w:rPr>
          <w:rFonts w:ascii="Arial" w:eastAsia="Arial" w:hAnsi="Arial" w:cs="Arial"/>
          <w:b/>
          <w:sz w:val="22"/>
          <w:szCs w:val="22"/>
        </w:rPr>
        <w:t xml:space="preserve">Signature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2C1AF4">
      <w:headerReference w:type="default" r:id="rId18"/>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Open Sans">
    <w:altName w:val="Times New Roman"/>
    <w:charset w:val="00"/>
    <w:family w:val="auto"/>
    <w:pitch w:val="default"/>
  </w:font>
  <w:font w:name="Univers">
    <w:altName w:val="Arial"/>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2060"/>
          <w:vAlign w:val="center"/>
        </w:tcPr>
        <w:p w:rsidR="00E518B3" w:rsidRPr="004518FA" w:rsidRDefault="006C5E32">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USN-VOTEELEC lot n°2</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916FB9">
            <w:rPr>
              <w:rFonts w:ascii="Arial" w:eastAsia="Arial" w:hAnsi="Arial" w:cs="Arial"/>
              <w:b/>
              <w:noProof/>
            </w:rPr>
            <w:t>1</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916FB9">
            <w:rPr>
              <w:rFonts w:ascii="Arial" w:eastAsia="Arial" w:hAnsi="Arial" w:cs="Arial"/>
              <w:b/>
              <w:noProof/>
            </w:rPr>
            <w:t>7</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379"/>
    <w:multiLevelType w:val="hybridMultilevel"/>
    <w:tmpl w:val="A1F25128"/>
    <w:lvl w:ilvl="0" w:tplc="B2F60BA2">
      <w:start w:val="1"/>
      <w:numFmt w:val="bullet"/>
      <w:lvlText w:val=""/>
      <w:lvlJc w:val="left"/>
      <w:pPr>
        <w:tabs>
          <w:tab w:val="num" w:pos="720"/>
        </w:tabs>
        <w:ind w:left="720" w:hanging="360"/>
      </w:pPr>
      <w:rPr>
        <w:rFonts w:ascii="Symbol" w:eastAsia="Times New Roman" w:hAnsi="Symbol"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54DD7A7E"/>
    <w:multiLevelType w:val="hybridMultilevel"/>
    <w:tmpl w:val="00C24B02"/>
    <w:lvl w:ilvl="0" w:tplc="995280C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7B968ED"/>
    <w:multiLevelType w:val="hybridMultilevel"/>
    <w:tmpl w:val="A54E4F8E"/>
    <w:lvl w:ilvl="0" w:tplc="7E5E559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8B3"/>
    <w:rsid w:val="00021810"/>
    <w:rsid w:val="002C1AF4"/>
    <w:rsid w:val="004518FA"/>
    <w:rsid w:val="00497F6A"/>
    <w:rsid w:val="006C5E32"/>
    <w:rsid w:val="00855B36"/>
    <w:rsid w:val="00916FB9"/>
    <w:rsid w:val="00AB4BD2"/>
    <w:rsid w:val="00B647C7"/>
    <w:rsid w:val="00C70DFA"/>
    <w:rsid w:val="00CB5F58"/>
    <w:rsid w:val="00E04848"/>
    <w:rsid w:val="00E51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37142B25-4813-4802-9E69-163E52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 w:type="paragraph" w:styleId="Paragraphedeliste">
    <w:name w:val="List Paragraph"/>
    <w:basedOn w:val="Normal"/>
    <w:uiPriority w:val="34"/>
    <w:qFormat/>
    <w:rsid w:val="00B647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1600</Words>
  <Characters>8805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Utilisateur-P3</cp:lastModifiedBy>
  <cp:revision>10</cp:revision>
  <dcterms:created xsi:type="dcterms:W3CDTF">2021-06-25T10:34:00Z</dcterms:created>
  <dcterms:modified xsi:type="dcterms:W3CDTF">2025-10-13T13:01:00Z</dcterms:modified>
</cp:coreProperties>
</file>